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82" w:rsidRDefault="00673382" w:rsidP="00673382">
      <w:pPr>
        <w:bidi w:val="0"/>
      </w:pPr>
      <w:r>
        <w:t>INTRODUCTION</w:t>
      </w:r>
    </w:p>
    <w:p w:rsidR="00673382" w:rsidRPr="00673382" w:rsidRDefault="00673382" w:rsidP="00673382">
      <w:pPr>
        <w:bidi w:val="0"/>
        <w:rPr>
          <w:rFonts w:hint="cs"/>
          <w:rtl/>
        </w:rPr>
      </w:pPr>
      <w:r>
        <w:t>Investment treaty arbitrations are largely based on International Investment Agreements (</w:t>
      </w:r>
      <w:proofErr w:type="gramStart"/>
      <w:r>
        <w:t>IIAs</w:t>
      </w:r>
      <w:r>
        <w:rPr>
          <w:rFonts w:hint="cs"/>
          <w:rtl/>
        </w:rPr>
        <w:t>(</w:t>
      </w:r>
      <w:proofErr w:type="gramEnd"/>
      <w:r>
        <w:t xml:space="preserve">which generally specify the mechanisms for disputes resolution. </w:t>
      </w:r>
      <w:proofErr w:type="spellStart"/>
      <w:r>
        <w:t>Interocean</w:t>
      </w:r>
      <w:proofErr w:type="spellEnd"/>
      <w:r>
        <w:t xml:space="preserve"> Oil Development</w:t>
      </w:r>
      <w:r>
        <w:t xml:space="preserve"> </w:t>
      </w:r>
      <w:r>
        <w:t xml:space="preserve">Company and </w:t>
      </w:r>
      <w:proofErr w:type="spellStart"/>
      <w:r>
        <w:t>Interocean</w:t>
      </w:r>
      <w:proofErr w:type="spellEnd"/>
      <w:r>
        <w:t xml:space="preserve"> Oil Exploration Company v. Federal Republic of Nigeria</w:t>
      </w:r>
      <w:r>
        <w:t xml:space="preserve"> (</w:t>
      </w:r>
      <w:r>
        <w:rPr>
          <w:rtl/>
        </w:rPr>
        <w:t xml:space="preserve"> </w:t>
      </w:r>
      <w:r>
        <w:rPr>
          <w:rtl/>
        </w:rPr>
        <w:t>“</w:t>
      </w:r>
      <w:proofErr w:type="spellStart"/>
      <w:r>
        <w:t>Interocean</w:t>
      </w:r>
      <w:proofErr w:type="spellEnd"/>
      <w:r>
        <w:t xml:space="preserve"> v. Nigeria”) however, has set precedent as the foremost International Centre for</w:t>
      </w:r>
      <w:r>
        <w:t xml:space="preserve"> </w:t>
      </w:r>
      <w:r>
        <w:t>the Settlement of Investment Disputes (ICSID) arbitration involving Nigeria that is based on a</w:t>
      </w:r>
      <w:r>
        <w:t xml:space="preserve"> </w:t>
      </w:r>
      <w:r>
        <w:t xml:space="preserve">domestic investment law. </w:t>
      </w:r>
      <w:proofErr w:type="spellStart"/>
      <w:r>
        <w:t>Interocean</w:t>
      </w:r>
      <w:proofErr w:type="spellEnd"/>
      <w:r>
        <w:t xml:space="preserve"> v. Nigeria addresses several well-argued jurisdictional</w:t>
      </w:r>
      <w:r>
        <w:t xml:space="preserve"> </w:t>
      </w:r>
      <w:r>
        <w:t>objections including that the claims were not attributable to the Respondent, that the Claimants</w:t>
      </w:r>
      <w:r>
        <w:t xml:space="preserve"> </w:t>
      </w:r>
      <w:r>
        <w:t>did not comply with pre-arbitration requirements4 and that the Nigerian Investment Promotion</w:t>
      </w:r>
      <w:r>
        <w:t xml:space="preserve"> </w:t>
      </w:r>
      <w:r>
        <w:t>Commission Act (NIPC Act) does not provide express consent on ICSID arbitration.</w:t>
      </w:r>
      <w:r>
        <w:t xml:space="preserve"> </w:t>
      </w:r>
      <w:r>
        <w:t>However, this paper would focus on the Respondent’s claim that lack of registration by</w:t>
      </w:r>
      <w:r>
        <w:t xml:space="preserve"> </w:t>
      </w:r>
      <w:bookmarkStart w:id="0" w:name="_GoBack"/>
      <w:bookmarkEnd w:id="0"/>
      <w:proofErr w:type="spellStart"/>
      <w:r>
        <w:t>Interocean</w:t>
      </w:r>
      <w:proofErr w:type="spellEnd"/>
      <w:r>
        <w:t xml:space="preserve"> should preclude the ICSID Tribunal from assuming jurisdiction over the dispute</w:t>
      </w:r>
      <w:r>
        <w:rPr>
          <w:rtl/>
        </w:rPr>
        <w:t>.</w:t>
      </w:r>
    </w:p>
    <w:p w:rsidR="00673382" w:rsidRDefault="00673382" w:rsidP="00673382">
      <w:pPr>
        <w:rPr>
          <w:rtl/>
        </w:rPr>
      </w:pPr>
      <w:r>
        <w:rPr>
          <w:rFonts w:hint="cs"/>
          <w:b/>
          <w:bCs/>
          <w:sz w:val="28"/>
          <w:szCs w:val="32"/>
          <w:rtl/>
        </w:rPr>
        <w:t xml:space="preserve">مقدمه </w:t>
      </w:r>
    </w:p>
    <w:p w:rsidR="00673382" w:rsidRDefault="00673382" w:rsidP="00673382">
      <w:pPr>
        <w:rPr>
          <w:rtl/>
        </w:rPr>
      </w:pPr>
      <w:r>
        <w:rPr>
          <w:rFonts w:hint="cs"/>
          <w:rtl/>
        </w:rPr>
        <w:t>رسیدگی به پرونده</w:t>
      </w:r>
      <w:r>
        <w:rPr>
          <w:rFonts w:hint="cs"/>
          <w:rtl/>
        </w:rPr>
        <w:softHyphen/>
        <w:t>هایی که در چارچوب معاهدات سرمایه</w:t>
      </w:r>
      <w:r>
        <w:rPr>
          <w:rFonts w:hint="cs"/>
          <w:rtl/>
        </w:rPr>
        <w:softHyphen/>
        <w:t>گذاری انجام می</w:t>
      </w:r>
      <w:r>
        <w:rPr>
          <w:rFonts w:hint="cs"/>
          <w:rtl/>
        </w:rPr>
        <w:softHyphen/>
        <w:t>شوند، عمدتاً براساس موافقت</w:t>
      </w:r>
      <w:r>
        <w:rPr>
          <w:rFonts w:hint="cs"/>
          <w:rtl/>
        </w:rPr>
        <w:softHyphen/>
        <w:t>نامه</w:t>
      </w:r>
      <w:r>
        <w:rPr>
          <w:rFonts w:hint="cs"/>
          <w:rtl/>
        </w:rPr>
        <w:softHyphen/>
        <w:t>های سرمایه</w:t>
      </w:r>
      <w:r>
        <w:rPr>
          <w:rFonts w:hint="cs"/>
          <w:rtl/>
        </w:rPr>
        <w:softHyphen/>
        <w:t>گذاری بین</w:t>
      </w:r>
      <w:r>
        <w:rPr>
          <w:rFonts w:hint="cs"/>
          <w:rtl/>
        </w:rPr>
        <w:softHyphen/>
        <w:t>المللی است که به</w:t>
      </w:r>
      <w:r>
        <w:rPr>
          <w:rFonts w:hint="cs"/>
          <w:rtl/>
        </w:rPr>
        <w:softHyphen/>
        <w:t>طور کلی مکانیسم</w:t>
      </w:r>
      <w:r>
        <w:rPr>
          <w:rFonts w:hint="cs"/>
          <w:rtl/>
        </w:rPr>
        <w:softHyphen/>
        <w:t>های حل اختلافات را مشخص می</w:t>
      </w:r>
      <w:r>
        <w:rPr>
          <w:rFonts w:hint="cs"/>
          <w:rtl/>
        </w:rPr>
        <w:softHyphen/>
        <w:t>کند. پرونده شرکت توسعه</w:t>
      </w:r>
      <w:r>
        <w:rPr>
          <w:rFonts w:hint="cs"/>
          <w:rtl/>
        </w:rPr>
        <w:softHyphen/>
        <w:t>ی پالایش و اکتشاف نفت اینتراوشن (بین اقیانوسی) در برابر جمهوری فدرال نیجریه (با نام اختصاری بین اقیانوسی علیه نیجریه)، مهم</w:t>
      </w:r>
      <w:r>
        <w:rPr>
          <w:rFonts w:hint="cs"/>
          <w:rtl/>
        </w:rPr>
        <w:softHyphen/>
        <w:t>ترین پرونده</w:t>
      </w:r>
      <w:r>
        <w:rPr>
          <w:rFonts w:hint="cs"/>
          <w:rtl/>
        </w:rPr>
        <w:softHyphen/>
        <w:t xml:space="preserve"> مرکز بین</w:t>
      </w:r>
      <w:r>
        <w:rPr>
          <w:rFonts w:hint="cs"/>
          <w:rtl/>
        </w:rPr>
        <w:softHyphen/>
        <w:t>المللی حل و فصل اختلافات سرمایه</w:t>
      </w:r>
      <w:r>
        <w:rPr>
          <w:rFonts w:hint="cs"/>
          <w:rtl/>
        </w:rPr>
        <w:softHyphen/>
        <w:t xml:space="preserve">گذاری </w:t>
      </w:r>
      <w:r>
        <w:t>(ICSID)</w:t>
      </w:r>
      <w:r>
        <w:rPr>
          <w:rFonts w:hint="cs"/>
          <w:rtl/>
        </w:rPr>
        <w:t xml:space="preserve"> بوده که براساس قانون سرمایه</w:t>
      </w:r>
      <w:r>
        <w:rPr>
          <w:rtl/>
        </w:rPr>
        <w:softHyphen/>
      </w:r>
      <w:r>
        <w:rPr>
          <w:rFonts w:hint="cs"/>
          <w:rtl/>
        </w:rPr>
        <w:t>گذاری داخلی این کشور مورد رسیدگی قرار گرفته است. در این پرونده به چندین اعتراض قانونی استدلال شده پرداخته می</w:t>
      </w:r>
      <w:r>
        <w:rPr>
          <w:rFonts w:hint="cs"/>
          <w:rtl/>
        </w:rPr>
        <w:softHyphen/>
        <w:t>شود، از جمله اینکه این دعاوی قابل انتساب به خوانده نبوده، اینکه شاکیان از الزامات قبل از داوری در چارچوب این مرکز تبعیت نکرده بودند و نکته</w:t>
      </w:r>
      <w:r>
        <w:rPr>
          <w:rFonts w:hint="cs"/>
          <w:rtl/>
        </w:rPr>
        <w:softHyphen/>
        <w:t>ی سوم آنکه قانون کمیسیون ترویج سرمایه</w:t>
      </w:r>
      <w:r>
        <w:rPr>
          <w:rFonts w:hint="cs"/>
          <w:rtl/>
        </w:rPr>
        <w:softHyphen/>
        <w:t xml:space="preserve">گذاری نیجریه </w:t>
      </w:r>
      <w:r>
        <w:t>(NIPC)</w:t>
      </w:r>
      <w:r>
        <w:rPr>
          <w:rFonts w:hint="cs"/>
          <w:rtl/>
        </w:rPr>
        <w:t xml:space="preserve"> رضایت صریحی در مورد داوری مرکز بین</w:t>
      </w:r>
      <w:r>
        <w:rPr>
          <w:rFonts w:hint="cs"/>
          <w:rtl/>
        </w:rPr>
        <w:softHyphen/>
        <w:t>المللی حل و فصل اختلافات سرمایه</w:t>
      </w:r>
      <w:r>
        <w:rPr>
          <w:rFonts w:hint="cs"/>
          <w:rtl/>
        </w:rPr>
        <w:softHyphen/>
        <w:t>گذاری ارائه نمی</w:t>
      </w:r>
      <w:r>
        <w:rPr>
          <w:rFonts w:hint="cs"/>
          <w:rtl/>
        </w:rPr>
        <w:softHyphen/>
        <w:t xml:space="preserve">کند. در این مقاله، بر دعاوی خوانده </w:t>
      </w:r>
      <w:r>
        <w:rPr>
          <w:rFonts w:hint="cs"/>
          <w:rtl/>
        </w:rPr>
        <w:lastRenderedPageBreak/>
        <w:t>تمرکز می</w:t>
      </w:r>
      <w:r>
        <w:rPr>
          <w:rFonts w:hint="cs"/>
          <w:rtl/>
        </w:rPr>
        <w:softHyphen/>
        <w:t>کنیم، مبنی بر اینکه، عدم ثبت</w:t>
      </w:r>
      <w:r>
        <w:rPr>
          <w:rFonts w:hint="cs"/>
          <w:rtl/>
        </w:rPr>
        <w:softHyphen/>
        <w:t>نام از سوی شرکت بین</w:t>
      </w:r>
      <w:r>
        <w:rPr>
          <w:rFonts w:hint="cs"/>
          <w:rtl/>
        </w:rPr>
        <w:softHyphen/>
        <w:t>اقیانوسی منجر به عدم صلاحیت مرکز حل و فصل اختلافات سرمایه</w:t>
      </w:r>
      <w:r>
        <w:rPr>
          <w:rFonts w:hint="cs"/>
          <w:rtl/>
        </w:rPr>
        <w:softHyphen/>
        <w:t xml:space="preserve">گذاری </w:t>
      </w:r>
      <w:r>
        <w:t>(ICSID)</w:t>
      </w:r>
      <w:r>
        <w:rPr>
          <w:rFonts w:hint="cs"/>
          <w:rtl/>
        </w:rPr>
        <w:t xml:space="preserve"> میشده است. </w:t>
      </w:r>
    </w:p>
    <w:p w:rsidR="00B15984" w:rsidRPr="00B15984" w:rsidRDefault="00B15984" w:rsidP="00B15984">
      <w:pPr>
        <w:bidi w:val="0"/>
        <w:rPr>
          <w:szCs w:val="24"/>
          <w:rtl/>
        </w:rPr>
      </w:pPr>
    </w:p>
    <w:sectPr w:rsidR="00B15984" w:rsidRPr="00B15984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28" w:rsidRDefault="00A85828" w:rsidP="00BB4126">
      <w:r>
        <w:separator/>
      </w:r>
    </w:p>
  </w:endnote>
  <w:endnote w:type="continuationSeparator" w:id="0">
    <w:p w:rsidR="00A85828" w:rsidRDefault="00A85828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28" w:rsidRDefault="00A85828" w:rsidP="00BB4126">
      <w:r>
        <w:separator/>
      </w:r>
    </w:p>
  </w:footnote>
  <w:footnote w:type="continuationSeparator" w:id="0">
    <w:p w:rsidR="00A85828" w:rsidRDefault="00A85828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3382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06E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5828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984"/>
    <w:rsid w:val="00B15BB8"/>
    <w:rsid w:val="00B1744A"/>
    <w:rsid w:val="00B17DE8"/>
    <w:rsid w:val="00B20262"/>
    <w:rsid w:val="00B2176F"/>
    <w:rsid w:val="00B22381"/>
    <w:rsid w:val="00B22638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BFC1-D3EC-4086-9CBC-73058774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4294461429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102</cp:revision>
  <cp:lastPrinted>2023-04-13T10:44:00Z</cp:lastPrinted>
  <dcterms:created xsi:type="dcterms:W3CDTF">2021-06-01T06:35:00Z</dcterms:created>
  <dcterms:modified xsi:type="dcterms:W3CDTF">2023-09-12T23:34:00Z</dcterms:modified>
</cp:coreProperties>
</file>